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21" w:rsidRDefault="009E6C4C" w:rsidP="001B69D1">
      <w:pPr>
        <w:spacing w:line="360" w:lineRule="auto"/>
        <w:ind w:firstLineChars="200" w:firstLine="723"/>
        <w:jc w:val="center"/>
        <w:rPr>
          <w:rFonts w:asciiTheme="minorEastAsia" w:hAnsiTheme="minorEastAsia"/>
          <w:b/>
          <w:sz w:val="36"/>
          <w:szCs w:val="24"/>
        </w:rPr>
      </w:pPr>
      <w:r w:rsidRPr="001B69D1">
        <w:rPr>
          <w:rFonts w:asciiTheme="minorEastAsia" w:hAnsiTheme="minorEastAsia" w:hint="eastAsia"/>
          <w:b/>
          <w:sz w:val="36"/>
          <w:szCs w:val="24"/>
        </w:rPr>
        <w:t>聚焦</w:t>
      </w:r>
      <w:r w:rsidR="00EA29B1" w:rsidRPr="001B69D1">
        <w:rPr>
          <w:rFonts w:asciiTheme="minorEastAsia" w:hAnsiTheme="minorEastAsia" w:hint="eastAsia"/>
          <w:b/>
          <w:sz w:val="36"/>
          <w:szCs w:val="24"/>
        </w:rPr>
        <w:t>课堂主渠道</w:t>
      </w:r>
      <w:r w:rsidRPr="001B69D1">
        <w:rPr>
          <w:rFonts w:asciiTheme="minorEastAsia" w:hAnsiTheme="minorEastAsia" w:hint="eastAsia"/>
          <w:b/>
          <w:sz w:val="36"/>
          <w:szCs w:val="24"/>
        </w:rPr>
        <w:t xml:space="preserve"> 推进课程思政建设</w:t>
      </w:r>
    </w:p>
    <w:p w:rsidR="001B69D1" w:rsidRPr="001B69D1" w:rsidRDefault="001B69D1" w:rsidP="001B69D1">
      <w:pPr>
        <w:spacing w:line="360" w:lineRule="auto"/>
        <w:ind w:firstLineChars="200" w:firstLine="562"/>
        <w:jc w:val="center"/>
        <w:rPr>
          <w:rFonts w:asciiTheme="minorEastAsia" w:hAnsiTheme="minorEastAsia"/>
          <w:b/>
          <w:sz w:val="28"/>
          <w:szCs w:val="24"/>
        </w:rPr>
      </w:pPr>
      <w:r w:rsidRPr="001B69D1">
        <w:rPr>
          <w:rFonts w:asciiTheme="minorEastAsia" w:hAnsiTheme="minorEastAsia" w:hint="eastAsia"/>
          <w:b/>
          <w:sz w:val="28"/>
          <w:szCs w:val="24"/>
        </w:rPr>
        <w:t>——中德工程学院课程思政实施经验总结</w:t>
      </w:r>
    </w:p>
    <w:p w:rsidR="009E6C4C" w:rsidRPr="001B69D1" w:rsidRDefault="00F560FE" w:rsidP="001B69D1">
      <w:pPr>
        <w:spacing w:line="360" w:lineRule="auto"/>
        <w:ind w:firstLineChars="200" w:firstLine="480"/>
        <w:jc w:val="left"/>
        <w:rPr>
          <w:rFonts w:asciiTheme="minorEastAsia" w:hAnsiTheme="minorEastAsia" w:cs="宋体"/>
          <w:kern w:val="0"/>
          <w:sz w:val="24"/>
          <w:szCs w:val="24"/>
        </w:rPr>
      </w:pPr>
      <w:r w:rsidRPr="001B69D1">
        <w:rPr>
          <w:rFonts w:asciiTheme="minorEastAsia" w:hAnsiTheme="minorEastAsia" w:hint="eastAsia"/>
          <w:sz w:val="24"/>
          <w:szCs w:val="24"/>
        </w:rPr>
        <w:t>2017年2月27日，中共中央、国务院印发了《关于加强和改进新形势下高校思想政治工作的意见》</w:t>
      </w:r>
      <w:r w:rsidR="009B2AE9" w:rsidRPr="001B69D1">
        <w:rPr>
          <w:rFonts w:asciiTheme="minorEastAsia" w:hAnsiTheme="minorEastAsia" w:hint="eastAsia"/>
          <w:sz w:val="24"/>
          <w:szCs w:val="24"/>
        </w:rPr>
        <w:t>。文件指出</w:t>
      </w:r>
      <w:r w:rsidRPr="001B69D1">
        <w:rPr>
          <w:rFonts w:asciiTheme="minorEastAsia" w:hAnsiTheme="minorEastAsia" w:hint="eastAsia"/>
          <w:sz w:val="24"/>
          <w:szCs w:val="24"/>
        </w:rPr>
        <w:t>要加强对课堂教学和各类思想文化阵地的建设管理</w:t>
      </w:r>
      <w:r w:rsidR="009B2AE9" w:rsidRPr="001B69D1">
        <w:rPr>
          <w:rFonts w:asciiTheme="minorEastAsia" w:hAnsiTheme="minorEastAsia" w:hint="eastAsia"/>
          <w:sz w:val="24"/>
          <w:szCs w:val="24"/>
        </w:rPr>
        <w:t>，</w:t>
      </w:r>
      <w:r w:rsidRPr="001B69D1">
        <w:rPr>
          <w:rFonts w:asciiTheme="minorEastAsia" w:hAnsiTheme="minorEastAsia" w:hint="eastAsia"/>
          <w:sz w:val="24"/>
          <w:szCs w:val="24"/>
        </w:rPr>
        <w:t>充分发掘和运用各学科蕴含的思想政治教育资源，健全高校课堂教学管理办法</w:t>
      </w:r>
      <w:r w:rsidR="009B2AE9" w:rsidRPr="001B69D1">
        <w:rPr>
          <w:rFonts w:asciiTheme="minorEastAsia" w:hAnsiTheme="minorEastAsia" w:hint="eastAsia"/>
          <w:sz w:val="24"/>
          <w:szCs w:val="24"/>
        </w:rPr>
        <w:t>。2019年习近平总书记在学校思想政治理论课教师座谈会上再次提出：要坚持显性教育和隐性教育相统一，挖掘其他课程和教学方式中蕴含的思想政治教育资源，实现全员全程全方位育人。</w:t>
      </w:r>
    </w:p>
    <w:p w:rsidR="00886313" w:rsidRPr="001B69D1" w:rsidRDefault="00886313" w:rsidP="001B69D1">
      <w:pPr>
        <w:spacing w:line="360" w:lineRule="auto"/>
        <w:ind w:firstLineChars="200" w:firstLine="482"/>
        <w:jc w:val="left"/>
        <w:rPr>
          <w:rFonts w:asciiTheme="minorEastAsia" w:hAnsiTheme="minorEastAsia" w:cs="宋体"/>
          <w:b/>
          <w:kern w:val="0"/>
          <w:sz w:val="24"/>
          <w:szCs w:val="24"/>
        </w:rPr>
      </w:pPr>
      <w:r w:rsidRPr="001B69D1">
        <w:rPr>
          <w:rFonts w:asciiTheme="minorEastAsia" w:hAnsiTheme="minorEastAsia" w:cs="宋体" w:hint="eastAsia"/>
          <w:b/>
          <w:kern w:val="0"/>
          <w:sz w:val="24"/>
          <w:szCs w:val="24"/>
        </w:rPr>
        <w:t>一、开展课程思政的必要性</w:t>
      </w:r>
    </w:p>
    <w:p w:rsidR="00DC0D48" w:rsidRPr="001B69D1" w:rsidRDefault="00DC0D48" w:rsidP="001B69D1">
      <w:pPr>
        <w:spacing w:line="360" w:lineRule="auto"/>
        <w:ind w:firstLineChars="200" w:firstLine="480"/>
        <w:jc w:val="left"/>
        <w:rPr>
          <w:rFonts w:asciiTheme="minorEastAsia" w:hAnsiTheme="minorEastAsia" w:cs="宋体"/>
          <w:kern w:val="0"/>
          <w:sz w:val="24"/>
          <w:szCs w:val="24"/>
        </w:rPr>
      </w:pPr>
      <w:r w:rsidRPr="001B69D1">
        <w:rPr>
          <w:rFonts w:asciiTheme="minorEastAsia" w:hAnsiTheme="minorEastAsia" w:hint="eastAsia"/>
          <w:sz w:val="24"/>
          <w:szCs w:val="24"/>
        </w:rPr>
        <w:t>培养什么样的人、如何培养人以及为谁培养人，是高等教育的根本问题。我们要坚持把立德树人贯穿于教育教学全过程。</w:t>
      </w:r>
      <w:r w:rsidRPr="001B69D1">
        <w:rPr>
          <w:rFonts w:asciiTheme="minorEastAsia" w:hAnsiTheme="minorEastAsia" w:cs="宋体"/>
          <w:kern w:val="0"/>
          <w:sz w:val="24"/>
          <w:szCs w:val="24"/>
        </w:rPr>
        <w:t>课堂教学</w:t>
      </w:r>
      <w:r w:rsidRPr="001B69D1">
        <w:rPr>
          <w:rFonts w:asciiTheme="minorEastAsia" w:hAnsiTheme="minorEastAsia" w:cs="宋体" w:hint="eastAsia"/>
          <w:kern w:val="0"/>
          <w:sz w:val="24"/>
          <w:szCs w:val="24"/>
        </w:rPr>
        <w:t>作为</w:t>
      </w:r>
      <w:r w:rsidRPr="001B69D1">
        <w:rPr>
          <w:rFonts w:asciiTheme="minorEastAsia" w:hAnsiTheme="minorEastAsia" w:cs="宋体"/>
          <w:kern w:val="0"/>
          <w:sz w:val="24"/>
          <w:szCs w:val="24"/>
        </w:rPr>
        <w:t>学校思想政治教育工作的主阵地、主渠道，</w:t>
      </w:r>
      <w:r w:rsidRPr="001B69D1">
        <w:rPr>
          <w:rFonts w:asciiTheme="minorEastAsia" w:hAnsiTheme="minorEastAsia" w:cs="宋体" w:hint="eastAsia"/>
          <w:kern w:val="0"/>
          <w:sz w:val="24"/>
          <w:szCs w:val="24"/>
        </w:rPr>
        <w:t>如何挖掘各门课程</w:t>
      </w:r>
      <w:r w:rsidRPr="001B69D1">
        <w:rPr>
          <w:rFonts w:asciiTheme="minorEastAsia" w:hAnsiTheme="minorEastAsia" w:cs="宋体"/>
          <w:kern w:val="0"/>
          <w:sz w:val="24"/>
          <w:szCs w:val="24"/>
        </w:rPr>
        <w:t>的思想政治教育资源，实践价值塑造、能力培养、知识传授三位一体的教学目标，</w:t>
      </w:r>
      <w:r w:rsidRPr="001B69D1">
        <w:rPr>
          <w:rFonts w:asciiTheme="minorEastAsia" w:hAnsiTheme="minorEastAsia" w:cs="宋体" w:hint="eastAsia"/>
          <w:kern w:val="0"/>
          <w:sz w:val="24"/>
          <w:szCs w:val="24"/>
        </w:rPr>
        <w:t>打造更多更好的课程思政，是我们需要不断探索和思考的问题</w:t>
      </w:r>
      <w:r w:rsidRPr="001B69D1">
        <w:rPr>
          <w:rFonts w:asciiTheme="minorEastAsia" w:hAnsiTheme="minorEastAsia" w:cs="宋体"/>
          <w:kern w:val="0"/>
          <w:sz w:val="24"/>
          <w:szCs w:val="24"/>
        </w:rPr>
        <w:t>。</w:t>
      </w:r>
    </w:p>
    <w:p w:rsidR="00461E36" w:rsidRPr="001B69D1" w:rsidRDefault="00845821" w:rsidP="00845821">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sidR="00D27373" w:rsidRPr="001B69D1">
        <w:rPr>
          <w:rFonts w:asciiTheme="minorEastAsia" w:hAnsiTheme="minorEastAsia" w:hint="eastAsia"/>
          <w:sz w:val="24"/>
          <w:szCs w:val="24"/>
        </w:rPr>
        <w:t>“亲其师，才能信其道”。教师</w:t>
      </w:r>
      <w:r w:rsidR="007E4FE8" w:rsidRPr="001B69D1">
        <w:rPr>
          <w:rFonts w:asciiTheme="minorEastAsia" w:hAnsiTheme="minorEastAsia" w:hint="eastAsia"/>
          <w:sz w:val="24"/>
          <w:szCs w:val="24"/>
        </w:rPr>
        <w:t>是学生思想教育的关键，我们要在教学过程中要引导好学生扣好人生第一粒扣子，用高尚的人格去感染学生，自觉做到为人师表。</w:t>
      </w:r>
      <w:r w:rsidR="00DC0D48" w:rsidRPr="001B69D1">
        <w:rPr>
          <w:rFonts w:asciiTheme="minorEastAsia" w:hAnsiTheme="minorEastAsia" w:hint="eastAsia"/>
          <w:sz w:val="24"/>
          <w:szCs w:val="24"/>
        </w:rPr>
        <w:t>因此，</w:t>
      </w:r>
      <w:r w:rsidR="00461E36" w:rsidRPr="001B69D1">
        <w:rPr>
          <w:rFonts w:asciiTheme="minorEastAsia" w:hAnsiTheme="minorEastAsia" w:hint="eastAsia"/>
          <w:sz w:val="24"/>
          <w:szCs w:val="24"/>
        </w:rPr>
        <w:t>在专业教学过程中，开展课程思政非常必要，这有利于培养学生健康的价值观，增强学生的爱国主义，促进立德树人根本目标的落实，实现教书育人。</w:t>
      </w:r>
    </w:p>
    <w:p w:rsidR="00886313" w:rsidRPr="001B69D1" w:rsidRDefault="00886313" w:rsidP="001B69D1">
      <w:pPr>
        <w:spacing w:line="360" w:lineRule="auto"/>
        <w:ind w:firstLineChars="200" w:firstLine="482"/>
        <w:jc w:val="left"/>
        <w:rPr>
          <w:rFonts w:asciiTheme="minorEastAsia" w:hAnsiTheme="minorEastAsia" w:cs="宋体"/>
          <w:b/>
          <w:kern w:val="0"/>
          <w:sz w:val="24"/>
          <w:szCs w:val="24"/>
        </w:rPr>
      </w:pPr>
      <w:r w:rsidRPr="001B69D1">
        <w:rPr>
          <w:rFonts w:asciiTheme="minorEastAsia" w:hAnsiTheme="minorEastAsia" w:cs="宋体" w:hint="eastAsia"/>
          <w:b/>
          <w:kern w:val="0"/>
          <w:sz w:val="24"/>
          <w:szCs w:val="24"/>
        </w:rPr>
        <w:t>二、课程思政</w:t>
      </w:r>
      <w:r w:rsidR="00DC0D48" w:rsidRPr="001B69D1">
        <w:rPr>
          <w:rFonts w:asciiTheme="minorEastAsia" w:hAnsiTheme="minorEastAsia" w:cs="宋体" w:hint="eastAsia"/>
          <w:b/>
          <w:kern w:val="0"/>
          <w:sz w:val="24"/>
          <w:szCs w:val="24"/>
        </w:rPr>
        <w:t>的设计思路</w:t>
      </w:r>
    </w:p>
    <w:p w:rsidR="00807987" w:rsidRPr="001B69D1" w:rsidRDefault="00461E36"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开展课程思政的目的是通过潜移默化的教育，实现言传身教和先进文化、职业道德、法制观念、爱国情怀等的传播。</w:t>
      </w:r>
    </w:p>
    <w:p w:rsidR="0048034F" w:rsidRPr="001B69D1" w:rsidRDefault="00461E36"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中德工程学院试点开设了《</w:t>
      </w:r>
      <w:r w:rsidR="006D14E3" w:rsidRPr="001B69D1">
        <w:rPr>
          <w:rFonts w:asciiTheme="minorEastAsia" w:hAnsiTheme="minorEastAsia" w:hint="eastAsia"/>
          <w:sz w:val="24"/>
          <w:szCs w:val="24"/>
        </w:rPr>
        <w:t>航空概论</w:t>
      </w:r>
      <w:r w:rsidRPr="001B69D1">
        <w:rPr>
          <w:rFonts w:asciiTheme="minorEastAsia" w:hAnsiTheme="minorEastAsia" w:hint="eastAsia"/>
          <w:sz w:val="24"/>
          <w:szCs w:val="24"/>
        </w:rPr>
        <w:t>》</w:t>
      </w:r>
      <w:r w:rsidR="006D14E3" w:rsidRPr="001B69D1">
        <w:rPr>
          <w:rFonts w:asciiTheme="minorEastAsia" w:hAnsiTheme="minorEastAsia" w:hint="eastAsia"/>
          <w:sz w:val="24"/>
          <w:szCs w:val="24"/>
        </w:rPr>
        <w:t>、《机械制图与测绘》、《电气设备控制与维修》、《高等数学》四门课程思政课程。</w:t>
      </w:r>
      <w:r w:rsidR="00807987" w:rsidRPr="001B69D1">
        <w:rPr>
          <w:rFonts w:asciiTheme="minorEastAsia" w:hAnsiTheme="minorEastAsia" w:hint="eastAsia"/>
          <w:sz w:val="24"/>
          <w:szCs w:val="24"/>
        </w:rPr>
        <w:t>课程设计过程中秉承的原则为：以专业技能知识为载体加强大学生思想政治教育，打破原先思政教育和专业教育“两张皮”的困境，让课堂主渠道功能实现最大化；创新专业课程话语体系，充分挖掘自身特色和优势，提炼专业课程中蕴含的文化基因和价值范式，将其转化为社会主义核心价值观具体化、生动化的有效教学载体，在“润物细无声”的知识学习中融入理想信念层面的精神指引。</w:t>
      </w:r>
    </w:p>
    <w:p w:rsidR="0046033D" w:rsidRPr="001B69D1" w:rsidRDefault="0046033D" w:rsidP="001B69D1">
      <w:pPr>
        <w:spacing w:line="360" w:lineRule="auto"/>
        <w:ind w:firstLineChars="200" w:firstLine="482"/>
        <w:jc w:val="left"/>
        <w:rPr>
          <w:rFonts w:asciiTheme="minorEastAsia" w:hAnsiTheme="minorEastAsia" w:cs="宋体"/>
          <w:b/>
          <w:kern w:val="0"/>
          <w:sz w:val="24"/>
          <w:szCs w:val="24"/>
        </w:rPr>
      </w:pPr>
      <w:r w:rsidRPr="001B69D1">
        <w:rPr>
          <w:rFonts w:asciiTheme="minorEastAsia" w:hAnsiTheme="minorEastAsia" w:cs="宋体" w:hint="eastAsia"/>
          <w:b/>
          <w:kern w:val="0"/>
          <w:sz w:val="24"/>
          <w:szCs w:val="24"/>
        </w:rPr>
        <w:t>三、课程思政实施举措</w:t>
      </w:r>
    </w:p>
    <w:p w:rsidR="0046033D" w:rsidRPr="001B69D1" w:rsidRDefault="0048034F"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lastRenderedPageBreak/>
        <w:t>课程思政的核心在于如何在育人的全过程融入立德树人的根本要求，潜移默化地开展思想引领。教师们通过积极探索，深入挖掘课程中的育人元素，结合知识点和技能要求，在教学环节通过不同的形式融入各种显性和隐形的思政元素，通过丰富的案例、故事、历史等形式来寻求知识与素养的混合，通过课题主渠道，实现思想教育和专业教育的融合，通过思想深化和价值引领实现教育的化合。</w:t>
      </w:r>
    </w:p>
    <w:p w:rsidR="00AF0980" w:rsidRPr="001B69D1" w:rsidRDefault="00AF0980"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1、梳理课程知识和技能点，融入德育案例，增强民族自豪感</w:t>
      </w:r>
    </w:p>
    <w:p w:rsidR="00AF0980" w:rsidRPr="001B69D1" w:rsidRDefault="0046033D"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机械制图与测绘》课程通过挖掘课程中不同知识点的教学内容，找到可以开发德育案例的切入点，如：责任意识、职业道德、法制观念等。然后针对德育教学，以启发故事、专业要求、实际操作的形式设置课程思政元素</w:t>
      </w:r>
      <w:r w:rsidR="00AF0980" w:rsidRPr="001B69D1">
        <w:rPr>
          <w:rFonts w:asciiTheme="minorEastAsia" w:hAnsiTheme="minorEastAsia" w:hint="eastAsia"/>
          <w:sz w:val="24"/>
          <w:szCs w:val="24"/>
        </w:rPr>
        <w:t>。如课程中针对测量工具如何使用这一知识点，教师通过溯源故事让学生提升民族自豪感。以游标卡尺为例，教师通过引入东汉铜卡尺，让学生了解中国测量工具的出现比欧洲的现代卡尺早了1600多年，从而增强学生对测量工具的好奇心和对民族智慧的自豪感。</w:t>
      </w:r>
    </w:p>
    <w:p w:rsidR="00AF0980" w:rsidRPr="001B69D1" w:rsidRDefault="00AF0980"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2、</w:t>
      </w:r>
      <w:r w:rsidR="00414345" w:rsidRPr="001B69D1">
        <w:rPr>
          <w:rFonts w:asciiTheme="minorEastAsia" w:hAnsiTheme="minorEastAsia" w:hint="eastAsia"/>
          <w:sz w:val="24"/>
          <w:szCs w:val="24"/>
        </w:rPr>
        <w:t>围绕课程特点，理论联系实际，</w:t>
      </w:r>
      <w:r w:rsidR="008C552F" w:rsidRPr="001B69D1">
        <w:rPr>
          <w:rFonts w:asciiTheme="minorEastAsia" w:hAnsiTheme="minorEastAsia" w:hint="eastAsia"/>
          <w:sz w:val="24"/>
          <w:szCs w:val="24"/>
        </w:rPr>
        <w:t>开展职业素养教育</w:t>
      </w:r>
    </w:p>
    <w:p w:rsidR="008C552F" w:rsidRPr="001B69D1" w:rsidRDefault="0046033D"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《航空概论》课程紧紧围绕航空维修人员必备的机务作风，将课程的教学目标与维修岗位工作的素质要求进行有机融合</w:t>
      </w:r>
      <w:r w:rsidR="008C552F" w:rsidRPr="001B69D1">
        <w:rPr>
          <w:rFonts w:asciiTheme="minorEastAsia" w:hAnsiTheme="minorEastAsia" w:hint="eastAsia"/>
          <w:sz w:val="24"/>
          <w:szCs w:val="24"/>
        </w:rPr>
        <w:t>。课程从航空发展史、飞机飞行原理、飞机系统、航空安全与职业精神四个方面融入中国航空发展史，建立航空强国的自豪自信；引入实际飞机维修案例，对接工作岗位，培养学生学习兴趣；分析航空安全事故，树立“维护守则”意识和“认真负责、严谨规范、精益求精”的作风。如在课程导入环节，设置了以下2个项目，来加强学生安全意识和职业规范的养成。</w:t>
      </w:r>
    </w:p>
    <w:tbl>
      <w:tblPr>
        <w:tblStyle w:val="a4"/>
        <w:tblW w:w="0" w:type="auto"/>
        <w:jc w:val="center"/>
        <w:tblLook w:val="04A0"/>
      </w:tblPr>
      <w:tblGrid>
        <w:gridCol w:w="675"/>
        <w:gridCol w:w="4536"/>
        <w:gridCol w:w="3311"/>
      </w:tblGrid>
      <w:tr w:rsidR="008C552F" w:rsidRPr="001B69D1" w:rsidTr="001B69D1">
        <w:trPr>
          <w:jc w:val="center"/>
        </w:trPr>
        <w:tc>
          <w:tcPr>
            <w:tcW w:w="675" w:type="dxa"/>
            <w:vAlign w:val="center"/>
          </w:tcPr>
          <w:p w:rsidR="008C552F" w:rsidRPr="001B69D1" w:rsidRDefault="008C552F" w:rsidP="001B69D1">
            <w:pPr>
              <w:jc w:val="center"/>
              <w:rPr>
                <w:rFonts w:asciiTheme="minorEastAsia" w:hAnsiTheme="minorEastAsia"/>
                <w:szCs w:val="24"/>
              </w:rPr>
            </w:pPr>
            <w:r w:rsidRPr="001B69D1">
              <w:rPr>
                <w:rFonts w:asciiTheme="minorEastAsia" w:hAnsiTheme="minorEastAsia" w:hint="eastAsia"/>
                <w:szCs w:val="24"/>
              </w:rPr>
              <w:t>序号</w:t>
            </w:r>
          </w:p>
        </w:tc>
        <w:tc>
          <w:tcPr>
            <w:tcW w:w="4536" w:type="dxa"/>
            <w:vAlign w:val="center"/>
          </w:tcPr>
          <w:p w:rsidR="008C552F" w:rsidRPr="001B69D1" w:rsidRDefault="008C552F" w:rsidP="001B69D1">
            <w:pPr>
              <w:jc w:val="center"/>
              <w:rPr>
                <w:rFonts w:asciiTheme="minorEastAsia" w:hAnsiTheme="minorEastAsia"/>
                <w:szCs w:val="24"/>
              </w:rPr>
            </w:pPr>
            <w:r w:rsidRPr="001B69D1">
              <w:rPr>
                <w:rFonts w:asciiTheme="minorEastAsia" w:hAnsiTheme="minorEastAsia" w:hint="eastAsia"/>
                <w:szCs w:val="24"/>
              </w:rPr>
              <w:t>项目内容</w:t>
            </w:r>
          </w:p>
        </w:tc>
        <w:tc>
          <w:tcPr>
            <w:tcW w:w="3311" w:type="dxa"/>
            <w:vAlign w:val="center"/>
          </w:tcPr>
          <w:p w:rsidR="008C552F" w:rsidRPr="001B69D1" w:rsidRDefault="008C552F" w:rsidP="001B69D1">
            <w:pPr>
              <w:jc w:val="center"/>
              <w:rPr>
                <w:rFonts w:asciiTheme="minorEastAsia" w:hAnsiTheme="minorEastAsia"/>
                <w:szCs w:val="24"/>
              </w:rPr>
            </w:pPr>
            <w:r w:rsidRPr="001B69D1">
              <w:rPr>
                <w:rFonts w:asciiTheme="minorEastAsia" w:hAnsiTheme="minorEastAsia" w:hint="eastAsia"/>
                <w:szCs w:val="24"/>
              </w:rPr>
              <w:t>设置目的</w:t>
            </w:r>
          </w:p>
        </w:tc>
      </w:tr>
      <w:tr w:rsidR="008C552F" w:rsidRPr="001B69D1" w:rsidTr="001B69D1">
        <w:trPr>
          <w:jc w:val="center"/>
        </w:trPr>
        <w:tc>
          <w:tcPr>
            <w:tcW w:w="675" w:type="dxa"/>
            <w:vAlign w:val="center"/>
          </w:tcPr>
          <w:p w:rsidR="008C552F" w:rsidRPr="001B69D1" w:rsidRDefault="008C552F" w:rsidP="001B69D1">
            <w:pPr>
              <w:jc w:val="center"/>
              <w:rPr>
                <w:rFonts w:asciiTheme="minorEastAsia" w:hAnsiTheme="minorEastAsia"/>
                <w:szCs w:val="24"/>
              </w:rPr>
            </w:pPr>
            <w:r w:rsidRPr="001B69D1">
              <w:rPr>
                <w:rFonts w:asciiTheme="minorEastAsia" w:hAnsiTheme="minorEastAsia" w:hint="eastAsia"/>
                <w:szCs w:val="24"/>
              </w:rPr>
              <w:t>1</w:t>
            </w:r>
          </w:p>
        </w:tc>
        <w:tc>
          <w:tcPr>
            <w:tcW w:w="4536" w:type="dxa"/>
            <w:vAlign w:val="center"/>
          </w:tcPr>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根据数据显示，一架飞机发生重大事故的概率约为三百万分之一，即一架飞机要累积三百万个航班，三百万次的起落才会发生一次事故，但是普通的飞机最多能达到一万五千次起落就达到报废的极限了。</w:t>
            </w:r>
          </w:p>
        </w:tc>
        <w:tc>
          <w:tcPr>
            <w:tcW w:w="3311" w:type="dxa"/>
            <w:vAlign w:val="center"/>
          </w:tcPr>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（1）飞机是最安全的交通工具；</w:t>
            </w:r>
          </w:p>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（2）如此安全的飞机，靠维护来保证。</w:t>
            </w:r>
          </w:p>
        </w:tc>
      </w:tr>
      <w:tr w:rsidR="008C552F" w:rsidRPr="001B69D1" w:rsidTr="001B69D1">
        <w:trPr>
          <w:jc w:val="center"/>
        </w:trPr>
        <w:tc>
          <w:tcPr>
            <w:tcW w:w="675" w:type="dxa"/>
            <w:vAlign w:val="center"/>
          </w:tcPr>
          <w:p w:rsidR="008C552F" w:rsidRPr="001B69D1" w:rsidRDefault="008C552F" w:rsidP="001B69D1">
            <w:pPr>
              <w:jc w:val="center"/>
              <w:rPr>
                <w:rFonts w:asciiTheme="minorEastAsia" w:hAnsiTheme="minorEastAsia"/>
                <w:szCs w:val="24"/>
              </w:rPr>
            </w:pPr>
            <w:r w:rsidRPr="001B69D1">
              <w:rPr>
                <w:rFonts w:asciiTheme="minorEastAsia" w:hAnsiTheme="minorEastAsia" w:hint="eastAsia"/>
                <w:szCs w:val="24"/>
              </w:rPr>
              <w:t>2</w:t>
            </w:r>
          </w:p>
        </w:tc>
        <w:tc>
          <w:tcPr>
            <w:tcW w:w="4536" w:type="dxa"/>
            <w:vAlign w:val="center"/>
          </w:tcPr>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当飞机推出准备起飞时，飞机下面有两名机务兄弟，一名扬手，另一名举起一根“红色飘带”后，飞机才开始滑行。</w:t>
            </w:r>
          </w:p>
        </w:tc>
        <w:tc>
          <w:tcPr>
            <w:tcW w:w="3311" w:type="dxa"/>
            <w:vAlign w:val="center"/>
          </w:tcPr>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（1）飞机起落架安全销的作用；</w:t>
            </w:r>
          </w:p>
          <w:p w:rsidR="008C552F" w:rsidRPr="001B69D1" w:rsidRDefault="008C552F" w:rsidP="001B69D1">
            <w:pPr>
              <w:rPr>
                <w:rFonts w:asciiTheme="minorEastAsia" w:hAnsiTheme="minorEastAsia"/>
                <w:szCs w:val="24"/>
              </w:rPr>
            </w:pPr>
            <w:r w:rsidRPr="001B69D1">
              <w:rPr>
                <w:rFonts w:asciiTheme="minorEastAsia" w:hAnsiTheme="minorEastAsia" w:hint="eastAsia"/>
                <w:szCs w:val="24"/>
              </w:rPr>
              <w:t>（2）飞机维修依法施工的重要性。</w:t>
            </w:r>
          </w:p>
        </w:tc>
      </w:tr>
    </w:tbl>
    <w:p w:rsidR="008C552F" w:rsidRPr="001B69D1" w:rsidRDefault="008C552F"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3、</w:t>
      </w:r>
      <w:r w:rsidR="00C73689" w:rsidRPr="001B69D1">
        <w:rPr>
          <w:rFonts w:asciiTheme="minorEastAsia" w:hAnsiTheme="minorEastAsia" w:hint="eastAsia"/>
          <w:sz w:val="24"/>
          <w:szCs w:val="24"/>
        </w:rPr>
        <w:t>细化操作规范，强化规范和责任意识，培养学生工匠精神</w:t>
      </w:r>
    </w:p>
    <w:p w:rsidR="008C552F" w:rsidRPr="001B69D1" w:rsidRDefault="00C73689"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《电气设备控制与维修》课程将社会主义建设理想与国家电力能源和电气发</w:t>
      </w:r>
      <w:r w:rsidRPr="001B69D1">
        <w:rPr>
          <w:rFonts w:asciiTheme="minorEastAsia" w:hAnsiTheme="minorEastAsia" w:hint="eastAsia"/>
          <w:sz w:val="24"/>
          <w:szCs w:val="24"/>
        </w:rPr>
        <w:lastRenderedPageBreak/>
        <w:t>展的需要相结合，将社会主义道德情操与实践操作中规范意识、责任意识相结合，在专业学习和操作过程中潜移默化地培养学生的工匠精神。</w:t>
      </w:r>
      <w:r w:rsidR="00305B34" w:rsidRPr="001B69D1">
        <w:rPr>
          <w:rFonts w:asciiTheme="minorEastAsia" w:hAnsiTheme="minorEastAsia" w:hint="eastAsia"/>
          <w:sz w:val="24"/>
          <w:szCs w:val="24"/>
        </w:rPr>
        <w:t>如在</w:t>
      </w:r>
      <w:r w:rsidRPr="001B69D1">
        <w:rPr>
          <w:rFonts w:asciiTheme="minorEastAsia" w:hAnsiTheme="minorEastAsia" w:hint="eastAsia"/>
          <w:sz w:val="24"/>
          <w:szCs w:val="24"/>
        </w:rPr>
        <w:t>电力气线路的搭建和检测</w:t>
      </w:r>
      <w:r w:rsidR="00305B34" w:rsidRPr="001B69D1">
        <w:rPr>
          <w:rFonts w:asciiTheme="minorEastAsia" w:hAnsiTheme="minorEastAsia" w:hint="eastAsia"/>
          <w:sz w:val="24"/>
          <w:szCs w:val="24"/>
        </w:rPr>
        <w:t>中</w:t>
      </w:r>
      <w:r w:rsidRPr="001B69D1">
        <w:rPr>
          <w:rFonts w:asciiTheme="minorEastAsia" w:hAnsiTheme="minorEastAsia" w:hint="eastAsia"/>
          <w:sz w:val="24"/>
          <w:szCs w:val="24"/>
        </w:rPr>
        <w:t>，离不开操作安全、规范以及精益</w:t>
      </w:r>
      <w:r w:rsidR="00305B34" w:rsidRPr="001B69D1">
        <w:rPr>
          <w:rFonts w:asciiTheme="minorEastAsia" w:hAnsiTheme="minorEastAsia" w:hint="eastAsia"/>
          <w:sz w:val="24"/>
          <w:szCs w:val="24"/>
        </w:rPr>
        <w:t>求精</w:t>
      </w:r>
      <w:r w:rsidRPr="001B69D1">
        <w:rPr>
          <w:rFonts w:asciiTheme="minorEastAsia" w:hAnsiTheme="minorEastAsia" w:hint="eastAsia"/>
          <w:sz w:val="24"/>
          <w:szCs w:val="24"/>
        </w:rPr>
        <w:t>的态度。在课程实践环节，通过对学生在任务中</w:t>
      </w:r>
      <w:r w:rsidR="00305B34" w:rsidRPr="001B69D1">
        <w:rPr>
          <w:rFonts w:asciiTheme="minorEastAsia" w:hAnsiTheme="minorEastAsia" w:hint="eastAsia"/>
          <w:sz w:val="24"/>
          <w:szCs w:val="24"/>
        </w:rPr>
        <w:t>，安全和</w:t>
      </w:r>
      <w:r w:rsidRPr="001B69D1">
        <w:rPr>
          <w:rFonts w:asciiTheme="minorEastAsia" w:hAnsiTheme="minorEastAsia" w:hint="eastAsia"/>
          <w:sz w:val="24"/>
          <w:szCs w:val="24"/>
        </w:rPr>
        <w:t>规范</w:t>
      </w:r>
      <w:r w:rsidR="00305B34" w:rsidRPr="001B69D1">
        <w:rPr>
          <w:rFonts w:asciiTheme="minorEastAsia" w:hAnsiTheme="minorEastAsia" w:hint="eastAsia"/>
          <w:sz w:val="24"/>
          <w:szCs w:val="24"/>
        </w:rPr>
        <w:t>操作的</w:t>
      </w:r>
      <w:r w:rsidRPr="001B69D1">
        <w:rPr>
          <w:rFonts w:asciiTheme="minorEastAsia" w:hAnsiTheme="minorEastAsia" w:hint="eastAsia"/>
          <w:sz w:val="24"/>
          <w:szCs w:val="24"/>
        </w:rPr>
        <w:t>考量</w:t>
      </w:r>
      <w:r w:rsidR="00305B34" w:rsidRPr="001B69D1">
        <w:rPr>
          <w:rFonts w:asciiTheme="minorEastAsia" w:hAnsiTheme="minorEastAsia" w:hint="eastAsia"/>
          <w:sz w:val="24"/>
          <w:szCs w:val="24"/>
        </w:rPr>
        <w:t>，以及实施</w:t>
      </w:r>
      <w:r w:rsidRPr="001B69D1">
        <w:rPr>
          <w:rFonts w:asciiTheme="minorEastAsia" w:hAnsiTheme="minorEastAsia" w:hint="eastAsia"/>
          <w:sz w:val="24"/>
          <w:szCs w:val="24"/>
        </w:rPr>
        <w:t>质量的评价，潜移默化地培养学生</w:t>
      </w:r>
      <w:r w:rsidR="00305B34" w:rsidRPr="001B69D1">
        <w:rPr>
          <w:rFonts w:asciiTheme="minorEastAsia" w:hAnsiTheme="minorEastAsia" w:hint="eastAsia"/>
          <w:sz w:val="24"/>
          <w:szCs w:val="24"/>
        </w:rPr>
        <w:t>的</w:t>
      </w:r>
      <w:r w:rsidRPr="001B69D1">
        <w:rPr>
          <w:rFonts w:asciiTheme="minorEastAsia" w:hAnsiTheme="minorEastAsia" w:hint="eastAsia"/>
          <w:sz w:val="24"/>
          <w:szCs w:val="24"/>
        </w:rPr>
        <w:t>责任、安全</w:t>
      </w:r>
      <w:r w:rsidR="00305B34" w:rsidRPr="001B69D1">
        <w:rPr>
          <w:rFonts w:asciiTheme="minorEastAsia" w:hAnsiTheme="minorEastAsia" w:hint="eastAsia"/>
          <w:sz w:val="24"/>
          <w:szCs w:val="24"/>
        </w:rPr>
        <w:t>、</w:t>
      </w:r>
      <w:r w:rsidRPr="001B69D1">
        <w:rPr>
          <w:rFonts w:asciiTheme="minorEastAsia" w:hAnsiTheme="minorEastAsia" w:hint="eastAsia"/>
          <w:sz w:val="24"/>
          <w:szCs w:val="24"/>
        </w:rPr>
        <w:t>纪律道德品</w:t>
      </w:r>
      <w:r w:rsidR="00305B34" w:rsidRPr="001B69D1">
        <w:rPr>
          <w:rFonts w:asciiTheme="minorEastAsia" w:hAnsiTheme="minorEastAsia" w:hint="eastAsia"/>
          <w:sz w:val="24"/>
          <w:szCs w:val="24"/>
        </w:rPr>
        <w:t>质，培养学生</w:t>
      </w:r>
      <w:r w:rsidRPr="001B69D1">
        <w:rPr>
          <w:rFonts w:asciiTheme="minorEastAsia" w:hAnsiTheme="minorEastAsia" w:hint="eastAsia"/>
          <w:sz w:val="24"/>
          <w:szCs w:val="24"/>
        </w:rPr>
        <w:t>精益求精、探索钻研的</w:t>
      </w:r>
      <w:r w:rsidR="00305B34" w:rsidRPr="001B69D1">
        <w:rPr>
          <w:rFonts w:asciiTheme="minorEastAsia" w:hAnsiTheme="minorEastAsia" w:hint="eastAsia"/>
          <w:sz w:val="24"/>
          <w:szCs w:val="24"/>
        </w:rPr>
        <w:t>学习</w:t>
      </w:r>
      <w:r w:rsidRPr="001B69D1">
        <w:rPr>
          <w:rFonts w:asciiTheme="minorEastAsia" w:hAnsiTheme="minorEastAsia" w:hint="eastAsia"/>
          <w:sz w:val="24"/>
          <w:szCs w:val="24"/>
        </w:rPr>
        <w:t>态度。</w:t>
      </w:r>
    </w:p>
    <w:p w:rsidR="00305B34" w:rsidRPr="001B69D1" w:rsidRDefault="00305B34"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4</w:t>
      </w:r>
      <w:r w:rsidR="008C552F" w:rsidRPr="001B69D1">
        <w:rPr>
          <w:rFonts w:asciiTheme="minorEastAsia" w:hAnsiTheme="minorEastAsia" w:hint="eastAsia"/>
          <w:sz w:val="24"/>
          <w:szCs w:val="24"/>
        </w:rPr>
        <w:t>、</w:t>
      </w:r>
      <w:r w:rsidR="002547B8" w:rsidRPr="001B69D1">
        <w:rPr>
          <w:rFonts w:asciiTheme="minorEastAsia" w:hAnsiTheme="minorEastAsia" w:hint="eastAsia"/>
          <w:sz w:val="24"/>
          <w:szCs w:val="24"/>
        </w:rPr>
        <w:t>基础课程结合专业元素，实现文化育人和素养教育</w:t>
      </w:r>
    </w:p>
    <w:p w:rsidR="00305B34" w:rsidRPr="001B69D1" w:rsidRDefault="00305B34"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《高等数学》</w:t>
      </w:r>
      <w:r w:rsidR="002547B8" w:rsidRPr="001B69D1">
        <w:rPr>
          <w:rFonts w:asciiTheme="minorEastAsia" w:hAnsiTheme="minorEastAsia" w:hint="eastAsia"/>
          <w:sz w:val="24"/>
          <w:szCs w:val="24"/>
        </w:rPr>
        <w:t>集合专业课程教学需求，以高职数学文化、数学素养的培育为出发点，将</w:t>
      </w:r>
      <w:r w:rsidRPr="001B69D1">
        <w:rPr>
          <w:rFonts w:asciiTheme="minorEastAsia" w:hAnsiTheme="minorEastAsia" w:hint="eastAsia"/>
          <w:sz w:val="24"/>
          <w:szCs w:val="24"/>
        </w:rPr>
        <w:t>数学文化、数学素养的培育与数学教学有机融合。</w:t>
      </w:r>
    </w:p>
    <w:p w:rsidR="005D4E37" w:rsidRPr="001B69D1" w:rsidRDefault="005D4E37" w:rsidP="001B69D1">
      <w:pPr>
        <w:pStyle w:val="a3"/>
        <w:numPr>
          <w:ilvl w:val="0"/>
          <w:numId w:val="2"/>
        </w:numPr>
        <w:spacing w:line="360" w:lineRule="auto"/>
        <w:ind w:firstLineChars="0"/>
        <w:jc w:val="left"/>
        <w:rPr>
          <w:rFonts w:asciiTheme="minorEastAsia" w:hAnsiTheme="minorEastAsia"/>
          <w:sz w:val="24"/>
          <w:szCs w:val="24"/>
        </w:rPr>
      </w:pPr>
      <w:r w:rsidRPr="001B69D1">
        <w:rPr>
          <w:rFonts w:asciiTheme="minorEastAsia" w:hAnsiTheme="minorEastAsia" w:hint="eastAsia"/>
          <w:sz w:val="24"/>
          <w:szCs w:val="24"/>
        </w:rPr>
        <w:t>数学文化的融入：</w:t>
      </w:r>
    </w:p>
    <w:p w:rsidR="001B69D1" w:rsidRDefault="001B69D1">
      <w:pPr>
        <w:widowControl/>
        <w:jc w:val="left"/>
        <w:rPr>
          <w:rFonts w:asciiTheme="minorEastAsia" w:hAnsiTheme="minorEastAsia"/>
          <w:sz w:val="24"/>
          <w:szCs w:val="24"/>
        </w:rPr>
      </w:pPr>
      <w:r>
        <w:rPr>
          <w:rFonts w:asciiTheme="minorEastAsia" w:hAnsiTheme="minorEastAsia"/>
          <w:sz w:val="24"/>
          <w:szCs w:val="24"/>
        </w:rPr>
        <w:br w:type="page"/>
      </w:r>
    </w:p>
    <w:tbl>
      <w:tblPr>
        <w:tblStyle w:val="a4"/>
        <w:tblW w:w="0" w:type="auto"/>
        <w:tblLook w:val="04A0"/>
      </w:tblPr>
      <w:tblGrid>
        <w:gridCol w:w="817"/>
        <w:gridCol w:w="3648"/>
        <w:gridCol w:w="2110"/>
        <w:gridCol w:w="1947"/>
      </w:tblGrid>
      <w:tr w:rsidR="002547B8" w:rsidRPr="001B69D1" w:rsidTr="00C5253F">
        <w:tc>
          <w:tcPr>
            <w:tcW w:w="817" w:type="dxa"/>
            <w:vAlign w:val="center"/>
          </w:tcPr>
          <w:p w:rsidR="002547B8" w:rsidRPr="001B69D1" w:rsidRDefault="002547B8"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lastRenderedPageBreak/>
              <w:t>模块</w:t>
            </w:r>
          </w:p>
        </w:tc>
        <w:tc>
          <w:tcPr>
            <w:tcW w:w="3648" w:type="dxa"/>
            <w:vAlign w:val="center"/>
          </w:tcPr>
          <w:p w:rsidR="002547B8" w:rsidRPr="001B69D1" w:rsidRDefault="002547B8"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数学名言</w:t>
            </w:r>
          </w:p>
        </w:tc>
        <w:tc>
          <w:tcPr>
            <w:tcW w:w="2110" w:type="dxa"/>
            <w:vAlign w:val="center"/>
          </w:tcPr>
          <w:p w:rsidR="002547B8" w:rsidRPr="001B69D1" w:rsidRDefault="002547B8"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阅读材料</w:t>
            </w:r>
          </w:p>
        </w:tc>
        <w:tc>
          <w:tcPr>
            <w:tcW w:w="1947" w:type="dxa"/>
            <w:vAlign w:val="center"/>
          </w:tcPr>
          <w:p w:rsidR="002547B8" w:rsidRPr="001B69D1" w:rsidRDefault="002547B8"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拓展材料</w:t>
            </w:r>
          </w:p>
        </w:tc>
      </w:tr>
      <w:tr w:rsidR="002547B8" w:rsidRPr="001B69D1" w:rsidTr="001B69D1">
        <w:tc>
          <w:tcPr>
            <w:tcW w:w="817" w:type="dxa"/>
            <w:vAlign w:val="center"/>
          </w:tcPr>
          <w:p w:rsidR="002547B8" w:rsidRPr="001B69D1" w:rsidRDefault="002547B8" w:rsidP="001B69D1">
            <w:pP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函数、极限与连续</w:t>
            </w:r>
          </w:p>
        </w:tc>
        <w:tc>
          <w:tcPr>
            <w:tcW w:w="3648" w:type="dxa"/>
          </w:tcPr>
          <w:p w:rsidR="002547B8" w:rsidRPr="001B69D1" w:rsidRDefault="002547B8" w:rsidP="001B69D1">
            <w:pPr>
              <w:ind w:firstLineChars="200" w:firstLine="420"/>
              <w:rPr>
                <w:rFonts w:asciiTheme="minorEastAsia" w:hAnsiTheme="minorEastAsia" w:cs="Arial"/>
                <w:color w:val="000000" w:themeColor="text1"/>
                <w:szCs w:val="24"/>
                <w:shd w:val="clear" w:color="auto" w:fill="FFFFFF"/>
              </w:rPr>
            </w:pPr>
            <w:r w:rsidRPr="001B69D1">
              <w:rPr>
                <w:rFonts w:asciiTheme="minorEastAsia" w:hAnsiTheme="minorEastAsia" w:cs="Arial"/>
                <w:color w:val="000000" w:themeColor="text1"/>
                <w:szCs w:val="24"/>
                <w:shd w:val="clear" w:color="auto" w:fill="FFFFFF"/>
              </w:rPr>
              <w:t>宇宙之大，粒子之微，火箭之速，化工之巧，地球之变，生物之谜，日用之繁，无处不用数学。</w:t>
            </w:r>
          </w:p>
          <w:p w:rsidR="002547B8" w:rsidRPr="001B69D1" w:rsidRDefault="002547B8" w:rsidP="001B69D1">
            <w:pPr>
              <w:ind w:firstLineChars="200" w:firstLine="420"/>
              <w:jc w:val="right"/>
              <w:rPr>
                <w:rFonts w:asciiTheme="minorEastAsia" w:hAnsiTheme="minorEastAsia"/>
                <w:color w:val="000000" w:themeColor="text1"/>
                <w:szCs w:val="24"/>
              </w:rPr>
            </w:pPr>
            <w:r w:rsidRPr="001B69D1">
              <w:rPr>
                <w:rFonts w:asciiTheme="minorEastAsia" w:hAnsiTheme="minorEastAsia" w:cs="Arial"/>
                <w:color w:val="000000" w:themeColor="text1"/>
                <w:szCs w:val="24"/>
                <w:shd w:val="clear" w:color="auto" w:fill="FFFFFF"/>
              </w:rPr>
              <w:t>——华罗庚</w:t>
            </w:r>
          </w:p>
          <w:p w:rsidR="002547B8" w:rsidRPr="001B69D1" w:rsidRDefault="002547B8" w:rsidP="001B69D1">
            <w:pPr>
              <w:ind w:firstLineChars="200" w:firstLine="420"/>
              <w:rPr>
                <w:rFonts w:asciiTheme="minorEastAsia" w:hAnsiTheme="minorEastAsia" w:cs="Arial"/>
                <w:color w:val="000000" w:themeColor="text1"/>
                <w:szCs w:val="24"/>
                <w:shd w:val="clear" w:color="auto" w:fill="FFFFFF"/>
              </w:rPr>
            </w:pPr>
            <w:r w:rsidRPr="001B69D1">
              <w:rPr>
                <w:rFonts w:asciiTheme="minorEastAsia" w:hAnsiTheme="minorEastAsia" w:cs="Arial"/>
                <w:color w:val="000000" w:themeColor="text1"/>
                <w:szCs w:val="24"/>
                <w:shd w:val="clear" w:color="auto" w:fill="FFFFFF"/>
              </w:rPr>
              <w:t>当我们说一个东西是无穷大的时候，这仅仅意味着我们不能感知到所指事物的终点或边界。</w:t>
            </w:r>
          </w:p>
          <w:p w:rsidR="002547B8" w:rsidRPr="001B69D1" w:rsidRDefault="002547B8" w:rsidP="001B69D1">
            <w:pPr>
              <w:jc w:val="right"/>
              <w:rPr>
                <w:rFonts w:asciiTheme="minorEastAsia" w:hAnsiTheme="minorEastAsia" w:cs="宋体"/>
                <w:color w:val="000000" w:themeColor="text1"/>
                <w:szCs w:val="24"/>
              </w:rPr>
            </w:pPr>
            <w:r w:rsidRPr="001B69D1">
              <w:rPr>
                <w:rFonts w:asciiTheme="minorEastAsia" w:hAnsiTheme="minorEastAsia" w:cs="Arial"/>
                <w:color w:val="000000" w:themeColor="text1"/>
                <w:szCs w:val="24"/>
                <w:shd w:val="clear" w:color="auto" w:fill="FFFFFF"/>
              </w:rPr>
              <w:t>——霍布斯</w:t>
            </w:r>
          </w:p>
        </w:tc>
        <w:tc>
          <w:tcPr>
            <w:tcW w:w="2110" w:type="dxa"/>
            <w:vAlign w:val="center"/>
          </w:tcPr>
          <w:p w:rsidR="002547B8" w:rsidRPr="001B69D1" w:rsidRDefault="002547B8" w:rsidP="001B69D1">
            <w:pPr>
              <w:rPr>
                <w:rFonts w:asciiTheme="minorEastAsia" w:hAnsiTheme="minorEastAsia" w:cs="宋体"/>
                <w:color w:val="000000" w:themeColor="text1"/>
                <w:szCs w:val="24"/>
              </w:rPr>
            </w:pPr>
            <w:r w:rsidRPr="001B69D1">
              <w:rPr>
                <w:rFonts w:asciiTheme="minorEastAsia" w:hAnsiTheme="minorEastAsia" w:cs="宋体" w:hint="eastAsia"/>
                <w:color w:val="000000" w:themeColor="text1"/>
                <w:kern w:val="0"/>
                <w:szCs w:val="24"/>
              </w:rPr>
              <w:t>函数与极限的产生过程</w:t>
            </w:r>
          </w:p>
        </w:tc>
        <w:tc>
          <w:tcPr>
            <w:tcW w:w="1947" w:type="dxa"/>
            <w:vAlign w:val="center"/>
          </w:tcPr>
          <w:p w:rsidR="002547B8" w:rsidRPr="001B69D1" w:rsidRDefault="002547B8" w:rsidP="001B69D1">
            <w:pPr>
              <w:rPr>
                <w:rFonts w:asciiTheme="minorEastAsia" w:hAnsiTheme="minorEastAsia"/>
                <w:color w:val="000000" w:themeColor="text1"/>
                <w:szCs w:val="24"/>
              </w:rPr>
            </w:pPr>
            <w:r w:rsidRPr="001B69D1">
              <w:rPr>
                <w:rFonts w:asciiTheme="minorEastAsia" w:hAnsiTheme="minorEastAsia" w:cs="宋体" w:hint="eastAsia"/>
                <w:color w:val="000000" w:themeColor="text1"/>
                <w:kern w:val="0"/>
                <w:szCs w:val="24"/>
              </w:rPr>
              <w:t>数学家故事——“苦瓜”数学家柯西</w:t>
            </w:r>
          </w:p>
        </w:tc>
      </w:tr>
      <w:tr w:rsidR="002547B8" w:rsidRPr="001B69D1" w:rsidTr="001B69D1">
        <w:tc>
          <w:tcPr>
            <w:tcW w:w="817" w:type="dxa"/>
            <w:vAlign w:val="center"/>
          </w:tcPr>
          <w:p w:rsidR="002547B8" w:rsidRPr="001B69D1" w:rsidRDefault="002547B8" w:rsidP="001B69D1">
            <w:pP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导数的应用</w:t>
            </w:r>
          </w:p>
        </w:tc>
        <w:tc>
          <w:tcPr>
            <w:tcW w:w="3648" w:type="dxa"/>
          </w:tcPr>
          <w:p w:rsidR="002547B8" w:rsidRPr="001B69D1" w:rsidRDefault="002547B8" w:rsidP="001B69D1">
            <w:pPr>
              <w:ind w:firstLineChars="200" w:firstLine="420"/>
              <w:rPr>
                <w:rFonts w:asciiTheme="minorEastAsia" w:hAnsiTheme="minorEastAsia"/>
                <w:color w:val="000000" w:themeColor="text1"/>
                <w:szCs w:val="24"/>
                <w:shd w:val="clear" w:color="auto" w:fill="FFFFFF"/>
              </w:rPr>
            </w:pPr>
            <w:r w:rsidRPr="001B69D1">
              <w:rPr>
                <w:rFonts w:asciiTheme="minorEastAsia" w:hAnsiTheme="minorEastAsia" w:hint="eastAsia"/>
                <w:color w:val="000000" w:themeColor="text1"/>
                <w:szCs w:val="24"/>
                <w:shd w:val="clear" w:color="auto" w:fill="FFFFFF"/>
              </w:rPr>
              <w:t>数学中的转折点是笛卡儿的变数。有了变数，运动进入了数学，有了变数，辩证法进入了数学，有了变数，微分和积分也就立刻成为必要了。</w:t>
            </w:r>
          </w:p>
          <w:p w:rsidR="002547B8" w:rsidRPr="001B69D1" w:rsidRDefault="002547B8" w:rsidP="001B69D1">
            <w:pPr>
              <w:ind w:firstLineChars="200" w:firstLine="420"/>
              <w:jc w:val="right"/>
              <w:rPr>
                <w:rFonts w:asciiTheme="minorEastAsia" w:hAnsiTheme="minorEastAsia"/>
                <w:color w:val="000000" w:themeColor="text1"/>
                <w:szCs w:val="24"/>
                <w:shd w:val="clear" w:color="auto" w:fill="FFFFFF"/>
              </w:rPr>
            </w:pPr>
            <w:r w:rsidRPr="001B69D1">
              <w:rPr>
                <w:rFonts w:asciiTheme="minorEastAsia" w:hAnsiTheme="minorEastAsia" w:hint="eastAsia"/>
                <w:color w:val="000000" w:themeColor="text1"/>
                <w:szCs w:val="24"/>
                <w:shd w:val="clear" w:color="auto" w:fill="FFFFFF"/>
              </w:rPr>
              <w:t>——恩格斯</w:t>
            </w:r>
          </w:p>
        </w:tc>
        <w:tc>
          <w:tcPr>
            <w:tcW w:w="2110" w:type="dxa"/>
            <w:vAlign w:val="center"/>
          </w:tcPr>
          <w:p w:rsidR="002547B8" w:rsidRPr="001B69D1" w:rsidRDefault="002547B8" w:rsidP="001B69D1">
            <w:pPr>
              <w:rPr>
                <w:rFonts w:asciiTheme="minorEastAsia" w:hAnsiTheme="minorEastAsia" w:cs="宋体"/>
                <w:color w:val="000000" w:themeColor="text1"/>
                <w:szCs w:val="24"/>
              </w:rPr>
            </w:pPr>
            <w:r w:rsidRPr="001B69D1">
              <w:rPr>
                <w:rFonts w:asciiTheme="minorEastAsia" w:hAnsiTheme="minorEastAsia" w:hint="eastAsia"/>
                <w:color w:val="000000" w:themeColor="text1"/>
                <w:szCs w:val="24"/>
              </w:rPr>
              <w:t>从导数的前世到今生的认识</w:t>
            </w:r>
          </w:p>
        </w:tc>
        <w:tc>
          <w:tcPr>
            <w:tcW w:w="1947" w:type="dxa"/>
            <w:vAlign w:val="center"/>
          </w:tcPr>
          <w:p w:rsidR="002547B8" w:rsidRPr="001B69D1" w:rsidRDefault="002547B8" w:rsidP="001B69D1">
            <w:pPr>
              <w:rPr>
                <w:rFonts w:asciiTheme="minorEastAsia" w:hAnsiTheme="minorEastAsia"/>
                <w:color w:val="000000" w:themeColor="text1"/>
                <w:szCs w:val="24"/>
              </w:rPr>
            </w:pPr>
            <w:r w:rsidRPr="001B69D1">
              <w:rPr>
                <w:rFonts w:asciiTheme="minorEastAsia" w:hAnsiTheme="minorEastAsia" w:hint="eastAsia"/>
                <w:color w:val="000000" w:themeColor="text1"/>
                <w:szCs w:val="24"/>
              </w:rPr>
              <w:t>柯西中值定理及其拓展</w:t>
            </w:r>
          </w:p>
        </w:tc>
      </w:tr>
    </w:tbl>
    <w:p w:rsidR="002547B8" w:rsidRPr="001B69D1" w:rsidRDefault="005D4E37"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（2）数学素养的融入</w:t>
      </w:r>
    </w:p>
    <w:p w:rsidR="005D4E37" w:rsidRPr="001B69D1" w:rsidRDefault="005D4E37" w:rsidP="001B69D1">
      <w:pPr>
        <w:spacing w:line="360" w:lineRule="auto"/>
        <w:ind w:firstLineChars="200" w:firstLine="480"/>
        <w:rPr>
          <w:rFonts w:asciiTheme="minorEastAsia" w:hAnsiTheme="minorEastAsia" w:cs="宋体"/>
          <w:sz w:val="24"/>
          <w:szCs w:val="24"/>
        </w:rPr>
      </w:pPr>
      <w:r w:rsidRPr="001B69D1">
        <w:rPr>
          <w:rFonts w:asciiTheme="minorEastAsia" w:hAnsiTheme="minorEastAsia" w:cs="宋体" w:hint="eastAsia"/>
          <w:sz w:val="24"/>
          <w:szCs w:val="24"/>
        </w:rPr>
        <w:t>课程从提升高职学生数学的专业应用角度出发提升其数学素养，结合相关专业教学案例，在每个数学模块开始前使学生明确学完这一模块可以解决的相关专业问题，每一模块结束以后，通过相关的与专业融合的案例使学生切实掌握“数学方式的理性思维”。如：</w:t>
      </w:r>
    </w:p>
    <w:tbl>
      <w:tblPr>
        <w:tblStyle w:val="a4"/>
        <w:tblW w:w="0" w:type="auto"/>
        <w:jc w:val="center"/>
        <w:tblLook w:val="04A0"/>
      </w:tblPr>
      <w:tblGrid>
        <w:gridCol w:w="3227"/>
        <w:gridCol w:w="4819"/>
      </w:tblGrid>
      <w:tr w:rsidR="005D4E37" w:rsidRPr="001B69D1" w:rsidTr="001B69D1">
        <w:trPr>
          <w:trHeight w:val="290"/>
          <w:jc w:val="center"/>
        </w:trPr>
        <w:tc>
          <w:tcPr>
            <w:tcW w:w="3227" w:type="dxa"/>
            <w:vAlign w:val="center"/>
          </w:tcPr>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数学知识</w:t>
            </w:r>
          </w:p>
        </w:tc>
        <w:tc>
          <w:tcPr>
            <w:tcW w:w="4819" w:type="dxa"/>
            <w:vAlign w:val="center"/>
          </w:tcPr>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延伸的专业应用</w:t>
            </w:r>
          </w:p>
        </w:tc>
      </w:tr>
      <w:tr w:rsidR="005D4E37" w:rsidRPr="001B69D1" w:rsidTr="001B69D1">
        <w:trPr>
          <w:trHeight w:val="276"/>
          <w:jc w:val="center"/>
        </w:trPr>
        <w:tc>
          <w:tcPr>
            <w:tcW w:w="3227" w:type="dxa"/>
            <w:vAlign w:val="center"/>
          </w:tcPr>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函数、极限与连续</w:t>
            </w:r>
          </w:p>
        </w:tc>
        <w:tc>
          <w:tcPr>
            <w:tcW w:w="4819" w:type="dxa"/>
            <w:vAlign w:val="center"/>
          </w:tcPr>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建立人口数量的简单数学模型</w:t>
            </w:r>
          </w:p>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建立电路电阻的简单数学模型</w:t>
            </w:r>
          </w:p>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城市垃圾处理的简单数学模型</w:t>
            </w:r>
          </w:p>
          <w:p w:rsidR="005D4E37" w:rsidRPr="001B69D1" w:rsidRDefault="005D4E37" w:rsidP="001B69D1">
            <w:pPr>
              <w:jc w:val="center"/>
              <w:rPr>
                <w:rFonts w:asciiTheme="minorEastAsia" w:hAnsiTheme="minorEastAsia" w:cs="宋体"/>
                <w:color w:val="000000" w:themeColor="text1"/>
                <w:szCs w:val="24"/>
              </w:rPr>
            </w:pPr>
            <w:r w:rsidRPr="001B69D1">
              <w:rPr>
                <w:rFonts w:asciiTheme="minorEastAsia" w:hAnsiTheme="minorEastAsia" w:cs="宋体" w:hint="eastAsia"/>
                <w:color w:val="000000" w:themeColor="text1"/>
                <w:szCs w:val="24"/>
              </w:rPr>
              <w:t>极限在调节技术中的简单应用</w:t>
            </w:r>
          </w:p>
        </w:tc>
      </w:tr>
    </w:tbl>
    <w:p w:rsidR="008C552F" w:rsidRPr="001B69D1" w:rsidRDefault="005D4E37"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4、</w:t>
      </w:r>
      <w:r w:rsidR="00430278" w:rsidRPr="001B69D1">
        <w:rPr>
          <w:rFonts w:asciiTheme="minorEastAsia" w:hAnsiTheme="minorEastAsia" w:hint="eastAsia"/>
          <w:sz w:val="24"/>
          <w:szCs w:val="24"/>
        </w:rPr>
        <w:t>校企合作，利用校内外实践基地，开展</w:t>
      </w:r>
      <w:r w:rsidR="008C552F" w:rsidRPr="001B69D1">
        <w:rPr>
          <w:rFonts w:asciiTheme="minorEastAsia" w:hAnsiTheme="minorEastAsia" w:hint="eastAsia"/>
          <w:sz w:val="24"/>
          <w:szCs w:val="24"/>
        </w:rPr>
        <w:t>多渠道</w:t>
      </w:r>
      <w:r w:rsidR="00430278" w:rsidRPr="001B69D1">
        <w:rPr>
          <w:rFonts w:asciiTheme="minorEastAsia" w:hAnsiTheme="minorEastAsia" w:hint="eastAsia"/>
          <w:sz w:val="24"/>
          <w:szCs w:val="24"/>
        </w:rPr>
        <w:t>思政教育</w:t>
      </w:r>
      <w:bookmarkStart w:id="0" w:name="_GoBack"/>
      <w:bookmarkEnd w:id="0"/>
    </w:p>
    <w:p w:rsidR="008C552F" w:rsidRPr="001B69D1" w:rsidRDefault="008C552F"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在课程实施中，充分利用行业企业校内外实践基地，拓宽学生学习的渠道，改进学生学习方式，</w:t>
      </w:r>
      <w:r w:rsidR="00430278" w:rsidRPr="001B69D1">
        <w:rPr>
          <w:rFonts w:asciiTheme="minorEastAsia" w:hAnsiTheme="minorEastAsia" w:hint="eastAsia"/>
          <w:sz w:val="24"/>
          <w:szCs w:val="24"/>
        </w:rPr>
        <w:t>提高课程思政的学习效果。如</w:t>
      </w:r>
      <w:r w:rsidRPr="001B69D1">
        <w:rPr>
          <w:rFonts w:asciiTheme="minorEastAsia" w:hAnsiTheme="minorEastAsia" w:hint="eastAsia"/>
          <w:sz w:val="24"/>
          <w:szCs w:val="24"/>
        </w:rPr>
        <w:t>《航空概论》</w:t>
      </w:r>
      <w:r w:rsidR="00430278" w:rsidRPr="001B69D1">
        <w:rPr>
          <w:rFonts w:asciiTheme="minorEastAsia" w:hAnsiTheme="minorEastAsia" w:hint="eastAsia"/>
          <w:sz w:val="24"/>
          <w:szCs w:val="24"/>
        </w:rPr>
        <w:t>课程，组织学生到</w:t>
      </w:r>
      <w:r w:rsidRPr="001B69D1">
        <w:rPr>
          <w:rFonts w:asciiTheme="minorEastAsia" w:hAnsiTheme="minorEastAsia" w:hint="eastAsia"/>
          <w:sz w:val="24"/>
          <w:szCs w:val="24"/>
        </w:rPr>
        <w:t>上海航宇科普中心</w:t>
      </w:r>
      <w:r w:rsidR="00430278" w:rsidRPr="001B69D1">
        <w:rPr>
          <w:rFonts w:asciiTheme="minorEastAsia" w:hAnsiTheme="minorEastAsia" w:hint="eastAsia"/>
          <w:sz w:val="24"/>
          <w:szCs w:val="24"/>
        </w:rPr>
        <w:t>、东方航空公司、上飞有限公司等企业</w:t>
      </w:r>
      <w:r w:rsidRPr="001B69D1">
        <w:rPr>
          <w:rFonts w:asciiTheme="minorEastAsia" w:hAnsiTheme="minorEastAsia" w:hint="eastAsia"/>
          <w:sz w:val="24"/>
          <w:szCs w:val="24"/>
        </w:rPr>
        <w:t>，</w:t>
      </w:r>
      <w:r w:rsidR="00430278" w:rsidRPr="001B69D1">
        <w:rPr>
          <w:rFonts w:asciiTheme="minorEastAsia" w:hAnsiTheme="minorEastAsia" w:hint="eastAsia"/>
          <w:sz w:val="24"/>
          <w:szCs w:val="24"/>
        </w:rPr>
        <w:t>以</w:t>
      </w:r>
      <w:r w:rsidRPr="001B69D1">
        <w:rPr>
          <w:rFonts w:asciiTheme="minorEastAsia" w:hAnsiTheme="minorEastAsia" w:hint="eastAsia"/>
          <w:sz w:val="24"/>
          <w:szCs w:val="24"/>
        </w:rPr>
        <w:t>参观学习世界和中国航空发展史，了解飞行原理</w:t>
      </w:r>
      <w:r w:rsidR="00430278" w:rsidRPr="001B69D1">
        <w:rPr>
          <w:rFonts w:asciiTheme="minorEastAsia" w:hAnsiTheme="minorEastAsia" w:hint="eastAsia"/>
          <w:sz w:val="24"/>
          <w:szCs w:val="24"/>
        </w:rPr>
        <w:t>，</w:t>
      </w:r>
      <w:r w:rsidRPr="001B69D1">
        <w:rPr>
          <w:rFonts w:asciiTheme="minorEastAsia" w:hAnsiTheme="minorEastAsia" w:hint="eastAsia"/>
          <w:sz w:val="24"/>
          <w:szCs w:val="24"/>
        </w:rPr>
        <w:t>认识中国“飞行之父”冯如，</w:t>
      </w:r>
      <w:r w:rsidR="00430278" w:rsidRPr="001B69D1">
        <w:rPr>
          <w:rFonts w:asciiTheme="minorEastAsia" w:hAnsiTheme="minorEastAsia" w:hint="eastAsia"/>
          <w:sz w:val="24"/>
          <w:szCs w:val="24"/>
        </w:rPr>
        <w:t>实地学习飞机维修流程和职业素养要求，</w:t>
      </w:r>
      <w:r w:rsidRPr="001B69D1">
        <w:rPr>
          <w:rFonts w:asciiTheme="minorEastAsia" w:hAnsiTheme="minorEastAsia" w:hint="eastAsia"/>
          <w:sz w:val="24"/>
          <w:szCs w:val="24"/>
        </w:rPr>
        <w:t>体会中国大飞机ARJ-21、C919飞机研发、制造的艰辛，体验民族航空工业强盛的自豪。</w:t>
      </w:r>
      <w:r w:rsidR="00430278" w:rsidRPr="001B69D1">
        <w:rPr>
          <w:rFonts w:asciiTheme="minorEastAsia" w:hAnsiTheme="minorEastAsia" w:hint="eastAsia"/>
          <w:sz w:val="24"/>
          <w:szCs w:val="24"/>
        </w:rPr>
        <w:t>另外，</w:t>
      </w:r>
      <w:r w:rsidRPr="001B69D1">
        <w:rPr>
          <w:rFonts w:asciiTheme="minorEastAsia" w:hAnsiTheme="minorEastAsia" w:hint="eastAsia"/>
          <w:sz w:val="24"/>
          <w:szCs w:val="24"/>
        </w:rPr>
        <w:t>邀请航空维修企业专家，</w:t>
      </w:r>
      <w:r w:rsidR="00430278" w:rsidRPr="001B69D1">
        <w:rPr>
          <w:rFonts w:asciiTheme="minorEastAsia" w:hAnsiTheme="minorEastAsia" w:hint="eastAsia"/>
          <w:sz w:val="24"/>
          <w:szCs w:val="24"/>
        </w:rPr>
        <w:t>到校开展航空讲座，用实际案例讲解</w:t>
      </w:r>
      <w:r w:rsidRPr="001B69D1">
        <w:rPr>
          <w:rFonts w:asciiTheme="minorEastAsia" w:hAnsiTheme="minorEastAsia" w:hint="eastAsia"/>
          <w:sz w:val="24"/>
          <w:szCs w:val="24"/>
        </w:rPr>
        <w:t>航空维修企业的作风要求。</w:t>
      </w:r>
    </w:p>
    <w:p w:rsidR="00DC0D48" w:rsidRPr="001B69D1" w:rsidRDefault="00DC0D48" w:rsidP="001B69D1">
      <w:pPr>
        <w:spacing w:line="360" w:lineRule="auto"/>
        <w:ind w:firstLineChars="200" w:firstLine="482"/>
        <w:jc w:val="left"/>
        <w:rPr>
          <w:rFonts w:asciiTheme="minorEastAsia" w:hAnsiTheme="minorEastAsia" w:cs="宋体"/>
          <w:b/>
          <w:kern w:val="0"/>
          <w:sz w:val="24"/>
          <w:szCs w:val="24"/>
        </w:rPr>
      </w:pPr>
      <w:r w:rsidRPr="001B69D1">
        <w:rPr>
          <w:rFonts w:asciiTheme="minorEastAsia" w:hAnsiTheme="minorEastAsia" w:cs="宋体" w:hint="eastAsia"/>
          <w:b/>
          <w:kern w:val="0"/>
          <w:sz w:val="24"/>
          <w:szCs w:val="24"/>
        </w:rPr>
        <w:t>四、课程思政实施效果</w:t>
      </w:r>
    </w:p>
    <w:p w:rsidR="00430278" w:rsidRPr="001B69D1" w:rsidRDefault="00430278"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通过四门课程思政的实施，与传统课程相比，在以下方面得到了显著提升：</w:t>
      </w:r>
    </w:p>
    <w:p w:rsidR="00430278" w:rsidRPr="001B69D1" w:rsidRDefault="00430278"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1、提升了学生爱国情怀</w:t>
      </w:r>
      <w:r w:rsidR="003D137A" w:rsidRPr="001B69D1">
        <w:rPr>
          <w:rFonts w:asciiTheme="minorEastAsia" w:hAnsiTheme="minorEastAsia" w:hint="eastAsia"/>
          <w:sz w:val="24"/>
          <w:szCs w:val="24"/>
        </w:rPr>
        <w:t>，人才培养质量获企业认可</w:t>
      </w:r>
    </w:p>
    <w:p w:rsidR="003D137A" w:rsidRPr="001B69D1" w:rsidRDefault="003D137A"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学生对民族文化更感兴趣，民族自豪感、学习热情有了极大提升。如飞机专</w:t>
      </w:r>
      <w:r w:rsidRPr="001B69D1">
        <w:rPr>
          <w:rFonts w:asciiTheme="minorEastAsia" w:hAnsiTheme="minorEastAsia" w:hint="eastAsia"/>
          <w:sz w:val="24"/>
          <w:szCs w:val="24"/>
        </w:rPr>
        <w:lastRenderedPageBreak/>
        <w:t>业的学生，越来越多的投入到航空企业，人才质量也得到了如中国商飞、上海波音等用人单位的高度认可。</w:t>
      </w:r>
    </w:p>
    <w:p w:rsidR="00430278" w:rsidRPr="001B69D1" w:rsidRDefault="003D137A"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2、带动学生职业素养和吃苦耐精神的养成</w:t>
      </w:r>
    </w:p>
    <w:p w:rsidR="00430278" w:rsidRPr="001B69D1" w:rsidRDefault="003D137A"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学生职业道德意识得到显著提升，越来越多的学生具备了更高的安全意识和职业规范意识。如学生在课堂中能主动发现安全隐患，并且制止其他同学不规范的操作。课程结束时学生能主动清扫实训室，并有意识的将物品整理整齐。正所谓细节体现品质，正是这些小小的细节之处，让我们看到了学生的改变。</w:t>
      </w:r>
    </w:p>
    <w:p w:rsidR="00430278" w:rsidRPr="001B69D1" w:rsidRDefault="003D137A"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3、课堂有效互动，培养学生团队精神</w:t>
      </w:r>
    </w:p>
    <w:p w:rsidR="003D137A" w:rsidRPr="001B69D1" w:rsidRDefault="003D137A" w:rsidP="001B69D1">
      <w:pPr>
        <w:spacing w:line="360" w:lineRule="auto"/>
        <w:ind w:firstLineChars="200" w:firstLine="480"/>
        <w:jc w:val="left"/>
        <w:rPr>
          <w:rFonts w:asciiTheme="minorEastAsia" w:hAnsiTheme="minorEastAsia"/>
          <w:sz w:val="24"/>
          <w:szCs w:val="24"/>
        </w:rPr>
      </w:pPr>
      <w:r w:rsidRPr="001B69D1">
        <w:rPr>
          <w:rFonts w:asciiTheme="minorEastAsia" w:hAnsiTheme="minorEastAsia" w:hint="eastAsia"/>
          <w:sz w:val="24"/>
          <w:szCs w:val="24"/>
        </w:rPr>
        <w:t>任何工作都离不开团队的力量。课程中通过设置不同的团队项目，加强学生之间的互动，增强学生的集体意识和团队荣誉感，深化责任感。</w:t>
      </w:r>
    </w:p>
    <w:p w:rsidR="00DC0D48" w:rsidRPr="001B69D1" w:rsidRDefault="003D137A" w:rsidP="001B69D1">
      <w:pPr>
        <w:spacing w:line="360" w:lineRule="auto"/>
        <w:ind w:firstLineChars="200" w:firstLine="480"/>
        <w:jc w:val="left"/>
        <w:rPr>
          <w:rFonts w:asciiTheme="minorEastAsia" w:hAnsiTheme="minorEastAsia" w:cs="宋体"/>
          <w:kern w:val="0"/>
          <w:sz w:val="24"/>
          <w:szCs w:val="24"/>
        </w:rPr>
      </w:pPr>
      <w:r w:rsidRPr="001B69D1">
        <w:rPr>
          <w:rFonts w:asciiTheme="minorEastAsia" w:hAnsiTheme="minorEastAsia" w:hint="eastAsia"/>
          <w:sz w:val="24"/>
          <w:szCs w:val="24"/>
        </w:rPr>
        <w:t>课程思政工作是一个</w:t>
      </w:r>
      <w:r w:rsidR="00430278" w:rsidRPr="001B69D1">
        <w:rPr>
          <w:rFonts w:asciiTheme="minorEastAsia" w:hAnsiTheme="minorEastAsia" w:hint="eastAsia"/>
          <w:sz w:val="24"/>
          <w:szCs w:val="24"/>
        </w:rPr>
        <w:t>循序渐进、循环往复的</w:t>
      </w:r>
      <w:r w:rsidR="00D31F4D" w:rsidRPr="001B69D1">
        <w:rPr>
          <w:rFonts w:asciiTheme="minorEastAsia" w:hAnsiTheme="minorEastAsia" w:hint="eastAsia"/>
          <w:sz w:val="24"/>
          <w:szCs w:val="24"/>
        </w:rPr>
        <w:t>过程，是每一位教育工作者的责任。我们将结合试点经验，把握课程教学这一主渠道，不断提升教师素养和教学水平，不断优化课程设计，不断改进教学手段和教学方法，将课程思政落实、落细，实现全程育人、全方位育人。</w:t>
      </w:r>
    </w:p>
    <w:sectPr w:rsidR="00DC0D48" w:rsidRPr="001B69D1" w:rsidSect="001226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11" w:rsidRDefault="00304311" w:rsidP="00845821">
      <w:r>
        <w:separator/>
      </w:r>
    </w:p>
  </w:endnote>
  <w:endnote w:type="continuationSeparator" w:id="1">
    <w:p w:rsidR="00304311" w:rsidRDefault="00304311" w:rsidP="00845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11" w:rsidRDefault="00304311" w:rsidP="00845821">
      <w:r>
        <w:separator/>
      </w:r>
    </w:p>
  </w:footnote>
  <w:footnote w:type="continuationSeparator" w:id="1">
    <w:p w:rsidR="00304311" w:rsidRDefault="00304311" w:rsidP="00845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152"/>
    <w:multiLevelType w:val="hybridMultilevel"/>
    <w:tmpl w:val="0C5449F4"/>
    <w:lvl w:ilvl="0" w:tplc="3E7A63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627022"/>
    <w:multiLevelType w:val="hybridMultilevel"/>
    <w:tmpl w:val="CB4CBE46"/>
    <w:lvl w:ilvl="0" w:tplc="04090011">
      <w:start w:val="1"/>
      <w:numFmt w:val="decimal"/>
      <w:lvlText w:val="%1)"/>
      <w:lvlJc w:val="left"/>
      <w:pPr>
        <w:ind w:left="816" w:hanging="420"/>
      </w:p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9B1"/>
    <w:rsid w:val="00001B36"/>
    <w:rsid w:val="001226FF"/>
    <w:rsid w:val="001B69D1"/>
    <w:rsid w:val="001D2038"/>
    <w:rsid w:val="002547B8"/>
    <w:rsid w:val="00304311"/>
    <w:rsid w:val="00305B34"/>
    <w:rsid w:val="003D137A"/>
    <w:rsid w:val="00414345"/>
    <w:rsid w:val="00430278"/>
    <w:rsid w:val="0046033D"/>
    <w:rsid w:val="00461E36"/>
    <w:rsid w:val="0048034F"/>
    <w:rsid w:val="00575870"/>
    <w:rsid w:val="005D4E37"/>
    <w:rsid w:val="006D14E3"/>
    <w:rsid w:val="007E4FE8"/>
    <w:rsid w:val="00807987"/>
    <w:rsid w:val="00812499"/>
    <w:rsid w:val="00845821"/>
    <w:rsid w:val="00886313"/>
    <w:rsid w:val="008942DF"/>
    <w:rsid w:val="008C552F"/>
    <w:rsid w:val="009B2AE9"/>
    <w:rsid w:val="009E6C4C"/>
    <w:rsid w:val="00AF0980"/>
    <w:rsid w:val="00BD397E"/>
    <w:rsid w:val="00C73689"/>
    <w:rsid w:val="00D27373"/>
    <w:rsid w:val="00D31F4D"/>
    <w:rsid w:val="00DC0D48"/>
    <w:rsid w:val="00E050E3"/>
    <w:rsid w:val="00EA29B1"/>
    <w:rsid w:val="00F560FE"/>
    <w:rsid w:val="00F9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3"/>
    <w:pPr>
      <w:ind w:firstLineChars="200" w:firstLine="420"/>
    </w:pPr>
  </w:style>
  <w:style w:type="table" w:styleId="a4">
    <w:name w:val="Table Grid"/>
    <w:basedOn w:val="a1"/>
    <w:uiPriority w:val="59"/>
    <w:rsid w:val="008079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73689"/>
    <w:rPr>
      <w:sz w:val="18"/>
      <w:szCs w:val="18"/>
    </w:rPr>
  </w:style>
  <w:style w:type="character" w:customStyle="1" w:styleId="Char">
    <w:name w:val="批注框文本 Char"/>
    <w:basedOn w:val="a0"/>
    <w:link w:val="a5"/>
    <w:uiPriority w:val="99"/>
    <w:semiHidden/>
    <w:rsid w:val="00C73689"/>
    <w:rPr>
      <w:sz w:val="18"/>
      <w:szCs w:val="18"/>
    </w:rPr>
  </w:style>
  <w:style w:type="paragraph" w:styleId="a6">
    <w:name w:val="header"/>
    <w:basedOn w:val="a"/>
    <w:link w:val="Char0"/>
    <w:uiPriority w:val="99"/>
    <w:semiHidden/>
    <w:unhideWhenUsed/>
    <w:rsid w:val="00845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45821"/>
    <w:rPr>
      <w:sz w:val="18"/>
      <w:szCs w:val="18"/>
    </w:rPr>
  </w:style>
  <w:style w:type="paragraph" w:styleId="a7">
    <w:name w:val="footer"/>
    <w:basedOn w:val="a"/>
    <w:link w:val="Char1"/>
    <w:uiPriority w:val="99"/>
    <w:semiHidden/>
    <w:unhideWhenUsed/>
    <w:rsid w:val="0084582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458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3"/>
    <w:pPr>
      <w:ind w:firstLineChars="200" w:firstLine="420"/>
    </w:pPr>
  </w:style>
  <w:style w:type="table" w:styleId="a4">
    <w:name w:val="Table Grid"/>
    <w:basedOn w:val="a1"/>
    <w:uiPriority w:val="59"/>
    <w:rsid w:val="008079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73689"/>
    <w:rPr>
      <w:sz w:val="18"/>
      <w:szCs w:val="18"/>
    </w:rPr>
  </w:style>
  <w:style w:type="character" w:customStyle="1" w:styleId="Char">
    <w:name w:val="批注框文本 Char"/>
    <w:basedOn w:val="a0"/>
    <w:link w:val="a5"/>
    <w:uiPriority w:val="99"/>
    <w:semiHidden/>
    <w:rsid w:val="00C7368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491</Words>
  <Characters>2800</Characters>
  <Application>Microsoft Office Word</Application>
  <DocSecurity>0</DocSecurity>
  <Lines>23</Lines>
  <Paragraphs>6</Paragraphs>
  <ScaleCrop>false</ScaleCrop>
  <Company>MS</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13</cp:revision>
  <dcterms:created xsi:type="dcterms:W3CDTF">2019-06-02T03:55:00Z</dcterms:created>
  <dcterms:modified xsi:type="dcterms:W3CDTF">2019-06-03T04:44:00Z</dcterms:modified>
</cp:coreProperties>
</file>